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474C" w:rsidRDefault="000A72F5">
      <w:pPr>
        <w:widowControl/>
        <w:pBdr>
          <w:top w:val="nil"/>
          <w:left w:val="nil"/>
          <w:bottom w:val="nil"/>
          <w:right w:val="nil"/>
          <w:between w:val="nil"/>
        </w:pBdr>
        <w:spacing w:before="240" w:after="120"/>
        <w:rPr>
          <w:rFonts w:ascii="Arial" w:eastAsia="Arial" w:hAnsi="Arial" w:cs="Arial"/>
          <w:b/>
          <w:color w:val="000000"/>
          <w:sz w:val="36"/>
          <w:szCs w:val="36"/>
        </w:rPr>
      </w:pPr>
      <w:bookmarkStart w:id="0" w:name="_GoBack"/>
      <w:r>
        <w:rPr>
          <w:rFonts w:ascii="Arial" w:eastAsia="Arial" w:hAnsi="Arial" w:cs="Arial"/>
          <w:b/>
          <w:color w:val="000000"/>
          <w:sz w:val="36"/>
          <w:szCs w:val="36"/>
        </w:rPr>
        <w:t>Framework Schedule 7 (Call-Off Award Procedure</w:t>
      </w:r>
      <w:bookmarkStart w:id="1" w:name="bookmark=id.gjdgxs" w:colFirst="0" w:colLast="0"/>
      <w:bookmarkEnd w:id="1"/>
      <w:r>
        <w:rPr>
          <w:rFonts w:ascii="Arial" w:eastAsia="Arial" w:hAnsi="Arial" w:cs="Arial"/>
          <w:b/>
          <w:color w:val="000000"/>
          <w:sz w:val="36"/>
          <w:szCs w:val="36"/>
        </w:rPr>
        <w:t xml:space="preserve">) </w:t>
      </w:r>
    </w:p>
    <w:bookmarkEnd w:id="0"/>
    <w:p w:rsidR="007C474C" w:rsidRDefault="000A72F5">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7C474C" w:rsidRDefault="000A72F5">
      <w:pPr>
        <w:widowControl/>
        <w:pBdr>
          <w:top w:val="nil"/>
          <w:left w:val="nil"/>
          <w:bottom w:val="nil"/>
          <w:right w:val="nil"/>
          <w:between w:val="nil"/>
        </w:pBdr>
        <w:spacing w:before="240" w:after="120"/>
        <w:rPr>
          <w:rFonts w:ascii="Arial" w:eastAsia="Arial" w:hAnsi="Arial" w:cs="Arial"/>
          <w:b/>
          <w:color w:val="000000"/>
          <w:sz w:val="24"/>
          <w:szCs w:val="24"/>
        </w:rPr>
      </w:pP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Paragraph 2.1.6 is intended to allow for clarification of submitted tenders within the scope of Regulation 56(4) which does not extend to material changes to already submitted tenders or negotiation. Buyers need not seek clarifications but where they do it is suggested that clear records are kept and where it would not breach confidentiality obligations to do so interactions with one Supplier should be notified to all potential Suppliers in line with transparency principles. Buyers might also wish to consider re-running a Further Competition Procedure where it becomes apparent from submitted Call-Off Tenders and/or clarification questions that the Statement of Requirements has not resulted in proposed Deliverables that are acceptable to the Buyer]</w:t>
      </w:r>
    </w:p>
    <w:p w:rsidR="007C474C" w:rsidRDefault="007C474C">
      <w:pPr>
        <w:widowControl/>
        <w:pBdr>
          <w:top w:val="nil"/>
          <w:left w:val="nil"/>
          <w:bottom w:val="nil"/>
          <w:right w:val="nil"/>
          <w:between w:val="nil"/>
        </w:pBdr>
        <w:spacing w:before="240" w:after="120"/>
        <w:rPr>
          <w:rFonts w:ascii="Arial" w:eastAsia="Arial" w:hAnsi="Arial" w:cs="Arial"/>
          <w:b/>
          <w:color w:val="000000"/>
          <w:sz w:val="36"/>
          <w:szCs w:val="36"/>
        </w:rPr>
      </w:pPr>
    </w:p>
    <w:p w:rsidR="007C474C" w:rsidRDefault="000A72F5">
      <w:pPr>
        <w:keepNext/>
        <w:widowControl/>
        <w:numPr>
          <w:ilvl w:val="0"/>
          <w:numId w:val="5"/>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7C474C" w:rsidRDefault="000A72F5">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all of the terms of the proposed Call-Off Contract are not laid down in this Contract and the potential Buyer:</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rsidR="007C474C" w:rsidRDefault="000A72F5">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bookmarkStart w:id="4" w:name="_heading=h.26in1rg" w:colFirst="0" w:colLast="0"/>
      <w:bookmarkEnd w:id="4"/>
      <w:r>
        <w:rPr>
          <w:rFonts w:ascii="Arial" w:eastAsia="Arial" w:hAnsi="Arial" w:cs="Arial"/>
          <w:color w:val="000000"/>
          <w:sz w:val="24"/>
          <w:szCs w:val="24"/>
        </w:rPr>
        <w:t>then the Buyer may award a Call-Off Contract in accordance with the Further Competition Procedure set out in Paragraph 2 below and enter into a Statement of Work in accordance with Paragraph 6 below</w:t>
      </w:r>
    </w:p>
    <w:p w:rsidR="007C474C" w:rsidRDefault="007C474C">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7C474C" w:rsidRDefault="000A72F5">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7C474C" w:rsidRDefault="000A72F5">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7C474C" w:rsidRDefault="000A72F5">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develop a Statement of Requirements setting out its requirements for the Deliverables and identify the Suppliers capable of supplying the them;</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3"/>
          <w:szCs w:val="23"/>
          <w:highlight w:val="white"/>
        </w:rPr>
        <w:t xml:space="preserve">define whether the requirement is for resource or for a </w:t>
      </w:r>
      <w:proofErr w:type="gramStart"/>
      <w:r>
        <w:rPr>
          <w:rFonts w:ascii="Arial" w:eastAsia="Arial" w:hAnsi="Arial" w:cs="Arial"/>
          <w:color w:val="000000"/>
          <w:sz w:val="23"/>
          <w:szCs w:val="23"/>
          <w:highlight w:val="white"/>
        </w:rPr>
        <w:t>contracted out</w:t>
      </w:r>
      <w:proofErr w:type="gramEnd"/>
      <w:r>
        <w:rPr>
          <w:rFonts w:ascii="Arial" w:eastAsia="Arial" w:hAnsi="Arial" w:cs="Arial"/>
          <w:color w:val="000000"/>
          <w:sz w:val="23"/>
          <w:szCs w:val="23"/>
          <w:highlight w:val="white"/>
        </w:rPr>
        <w:t xml:space="preserve"> service (for further information see Buyer’s Guidance). For a ‘resource’ requirement the Buyer shall issue </w:t>
      </w:r>
      <w:r>
        <w:rPr>
          <w:rFonts w:ascii="Arial" w:eastAsia="Arial" w:hAnsi="Arial" w:cs="Arial"/>
          <w:color w:val="000000"/>
          <w:sz w:val="23"/>
          <w:szCs w:val="23"/>
          <w:highlight w:val="white"/>
        </w:rPr>
        <w:lastRenderedPageBreak/>
        <w:t>the Supplier and all its Key Staff defined as Off-Payroll Workers with a Status Determination Statement that describes the IR35 status of each Supplier key role / position being engaged;</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amend or refine the Deliverables to reflect its requirements by using the Order Form and the Statement of Work only to the extent permitted by and in accordance with the requirements of the Regulations;</w:t>
      </w:r>
    </w:p>
    <w:p w:rsidR="007C474C" w:rsidRDefault="000A72F5">
      <w:pPr>
        <w:keepNext/>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invite tenders by conducting a Further Competition Procedure for its Deliverables in accordance with the Regulations and in particular:</w:t>
      </w:r>
    </w:p>
    <w:p w:rsidR="007C474C" w:rsidRDefault="000A72F5">
      <w:pPr>
        <w:keepNext/>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the Buyer shall:</w:t>
      </w:r>
    </w:p>
    <w:p w:rsidR="007C474C" w:rsidRDefault="000A72F5">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7C474C" w:rsidRDefault="000A72F5">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for the receipt by it of the tenders which </w:t>
      </w:r>
      <w:proofErr w:type="gramStart"/>
      <w:r>
        <w:rPr>
          <w:rFonts w:ascii="Arial" w:eastAsia="Arial" w:hAnsi="Arial" w:cs="Arial"/>
          <w:color w:val="000000"/>
          <w:sz w:val="24"/>
          <w:szCs w:val="24"/>
        </w:rPr>
        <w:t>takes into account</w:t>
      </w:r>
      <w:proofErr w:type="gramEnd"/>
      <w:r>
        <w:rPr>
          <w:rFonts w:ascii="Arial" w:eastAsia="Arial" w:hAnsi="Arial" w:cs="Arial"/>
          <w:color w:val="000000"/>
          <w:sz w:val="24"/>
          <w:szCs w:val="24"/>
        </w:rPr>
        <w:t xml:space="preserve"> factors such as the complexity of the subject matter of the proposed Call-Off Contract and the time needed to submit tenders; and</w:t>
      </w:r>
    </w:p>
    <w:p w:rsidR="007C474C" w:rsidRDefault="000A72F5">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where the Buyer deems it appropriate to do so and in accordance with Regulation 56, request further clarification of a Call-Off Tender after its submission in order to resolve any minor errors or ambiguities or seek missing information from the Supplier;</w:t>
      </w:r>
    </w:p>
    <w:p w:rsidR="007C474C" w:rsidRDefault="000A72F5">
      <w:pPr>
        <w:keepNext/>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of this Framework Schedule 7. The Call-Off Contract shall:</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2.1.2. above) applicable to the Deliverables,</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provide unsuccessful Suppliers with written feedback in relation to the reasons why their tenders were unsuccessful.</w:t>
      </w:r>
    </w:p>
    <w:p w:rsidR="007C474C" w:rsidRDefault="000A72F5">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7C474C" w:rsidRDefault="000A72F5">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2.1.3 above, provide CCS and the Buyer with either:</w:t>
      </w:r>
    </w:p>
    <w:p w:rsidR="007C474C" w:rsidRDefault="007C474C">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rsidR="007C474C" w:rsidRDefault="000A72F5">
      <w:pPr>
        <w:keepNext/>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where requested by the Buyer CVs of key staff – as a minimum any lead consultant, with others, as considered appropriate by the Buyer along with required staff levels (if necessary); and</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w:t>
      </w:r>
      <w:proofErr w:type="gramStart"/>
      <w:r>
        <w:rPr>
          <w:rFonts w:ascii="Arial" w:eastAsia="Arial" w:hAnsi="Arial" w:cs="Arial"/>
          <w:color w:val="000000"/>
          <w:sz w:val="24"/>
          <w:szCs w:val="24"/>
        </w:rPr>
        <w:t>take into account</w:t>
      </w:r>
      <w:proofErr w:type="gramEnd"/>
      <w:r>
        <w:rPr>
          <w:rFonts w:ascii="Arial" w:eastAsia="Arial" w:hAnsi="Arial" w:cs="Arial"/>
          <w:color w:val="000000"/>
          <w:sz w:val="24"/>
          <w:szCs w:val="24"/>
        </w:rPr>
        <w:t xml:space="preserve"> any discount to which the Buyer may be entitled as set out in Framework Schedule 3 (Framework Prices).</w:t>
      </w:r>
    </w:p>
    <w:p w:rsidR="007C474C" w:rsidRDefault="000A72F5">
      <w:pPr>
        <w:keepNext/>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Call-Off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7C474C" w:rsidRDefault="000A72F5">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not fix or adjust the price of the tender by or in accordance with any agreement or arrangement with </w:t>
      </w:r>
      <w:r>
        <w:rPr>
          <w:rFonts w:ascii="Arial" w:eastAsia="Arial" w:hAnsi="Arial" w:cs="Arial"/>
          <w:color w:val="000000"/>
          <w:sz w:val="24"/>
          <w:szCs w:val="24"/>
        </w:rPr>
        <w:lastRenderedPageBreak/>
        <w:t>any other person. The Supplier certifies that it has not and undertakes that it will not:</w:t>
      </w:r>
    </w:p>
    <w:p w:rsidR="007C474C" w:rsidRDefault="000A72F5">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7C474C" w:rsidRDefault="000A72F5">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rsidR="007C474C" w:rsidRDefault="007C474C">
      <w:pPr>
        <w:widowControl/>
        <w:pBdr>
          <w:top w:val="nil"/>
          <w:left w:val="nil"/>
          <w:bottom w:val="nil"/>
          <w:right w:val="nil"/>
          <w:between w:val="nil"/>
        </w:pBdr>
        <w:tabs>
          <w:tab w:val="left" w:pos="6238"/>
        </w:tabs>
        <w:spacing w:before="120" w:after="120"/>
        <w:ind w:left="1080"/>
        <w:rPr>
          <w:rFonts w:ascii="Arial" w:eastAsia="Arial" w:hAnsi="Arial" w:cs="Arial"/>
          <w:color w:val="000000"/>
          <w:sz w:val="24"/>
          <w:szCs w:val="24"/>
        </w:rPr>
      </w:pPr>
    </w:p>
    <w:p w:rsidR="007C474C" w:rsidRDefault="000A72F5">
      <w:pPr>
        <w:keepNext/>
        <w:widowControl/>
        <w:numPr>
          <w:ilvl w:val="0"/>
          <w:numId w:val="4"/>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the Supplier acknowledges and agrees that the Buyer shall be entitled at all times to decline to make an award for its Deliverables and that nothing in this Contract shall oblige the Buyer to award any Call-Off Contract;</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Should the Supplier fail to provide a cost breakdown of a SOW (together with any supporting documents) in the format and to the timetable requested by the Buyer, the Buyer may reject the Supplier’s bid without further consideration and the Supplier shall take no further part in that Further Competition Procedure.</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where a Call-Off Contract has been awarded, except for the execution of the first Statement of Work, be entitled at all times to decline to make any further award of its Deliverables and nothing in this Contract shall oblige the Buyer to execute any further Statements of Work.</w:t>
      </w:r>
    </w:p>
    <w:p w:rsidR="007C474C" w:rsidRDefault="000A72F5">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Who is responsible for the </w:t>
      </w:r>
      <w:proofErr w:type="gramStart"/>
      <w:r>
        <w:rPr>
          <w:rFonts w:ascii="Arial Bold" w:eastAsia="Arial Bold" w:hAnsi="Arial Bold" w:cs="Arial Bold"/>
          <w:b/>
          <w:color w:val="000000"/>
          <w:sz w:val="24"/>
          <w:szCs w:val="24"/>
        </w:rPr>
        <w:t>award</w:t>
      </w:r>
      <w:proofErr w:type="gramEnd"/>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each Statement of Work under it) and that CCS is not responsible or accountable for and shall have no liability whatsoever (including checking whether the engagement of workers meets the rules for working off-payroll, i.e. Off-Payroll Worker (Known as working ‘outside IR35’), except where it is the Buyer, in relation to:</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7C474C" w:rsidRDefault="000A72F5">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(including each Statement of Work under them) between the Supplier and Buyer entered into pursuant to this Contract.</w:t>
      </w:r>
    </w:p>
    <w:p w:rsidR="007C474C" w:rsidRDefault="000A72F5">
      <w:pPr>
        <w:keepNext/>
        <w:widowControl/>
        <w:numPr>
          <w:ilvl w:val="0"/>
          <w:numId w:val="4"/>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Awarding and creating a Call-Off Contract</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Statement of Work Template, and Call-Off Schedules).</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7C474C" w:rsidRPr="009D1280" w:rsidRDefault="000A72F5">
      <w:pPr>
        <w:widowControl/>
        <w:numPr>
          <w:ilvl w:val="0"/>
          <w:numId w:val="4"/>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sidRPr="009D1280">
        <w:rPr>
          <w:rFonts w:ascii="Arial" w:eastAsia="Arial" w:hAnsi="Arial" w:cs="Arial"/>
          <w:b/>
          <w:color w:val="000000"/>
          <w:sz w:val="24"/>
          <w:szCs w:val="24"/>
        </w:rPr>
        <w:t>Creating a Statement of Work</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5 above, a Buyer may execute a Statement of Work with the Supplier by sending (including electronically) a signed Statement of Work substantially in the form (as may be amended or refined by the Buyer (in accordance with Paragraph 2.1.3 above) of the Statement of Work Template set out in Framework Schedule 6 (Order Form Template, Statement of Work Template and Call-Off Schedules). </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Parties agree that any document or communication (including any document or communication in the apparent form of a Statement of Work) which is not as described in this Paragraph 6 shall not constitute a Statement of Work under this Contract. </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 receipt of a statement of work as described in Paragraph 6.1 from a Buyer the Supplier shall accept the Statement of Work by promptly signing and returning (including by electronic means) a copy of the Statement of Work to the Buyer concerned. </w:t>
      </w:r>
    </w:p>
    <w:p w:rsidR="007C474C" w:rsidRDefault="000A72F5">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Statement of Work from the Supplier, the Buyer shall send (including by electronic means) a written notice of receipt to the Supplier within two (2) Working Days and the Statement of Work shall be formed with effect from the SOW Start Date stated in the Statement of Work.</w:t>
      </w:r>
    </w:p>
    <w:p w:rsidR="007C474C" w:rsidRDefault="000A72F5">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7C474C" w:rsidRDefault="000A72F5">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of this Framework Schedule 7 above shall not apply to an Exempt Buyer.</w:t>
      </w:r>
    </w:p>
    <w:p w:rsidR="007C474C" w:rsidRDefault="000A72F5">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w:t>
      </w:r>
      <w:r>
        <w:rPr>
          <w:rFonts w:ascii="Arial" w:eastAsia="Arial" w:hAnsi="Arial" w:cs="Arial"/>
          <w:color w:val="000000"/>
          <w:sz w:val="24"/>
          <w:szCs w:val="24"/>
        </w:rPr>
        <w:lastRenderedPageBreak/>
        <w:t>Deliverables in accordance with the procedure in this Schedule as modified by this Paragraph 7 and in accordance with any legal requirements applicable to that potential Exempt Buyer.</w:t>
      </w:r>
    </w:p>
    <w:p w:rsidR="007C474C" w:rsidRDefault="000A72F5">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through a Further Competition Procedure in accordance with Paragraph 3 as modified by Paragraph 8.5 below.</w:t>
      </w:r>
    </w:p>
    <w:p w:rsidR="007C474C" w:rsidRDefault="000A72F5">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2 above as modified by this Paragraph 7.4. In that case, references to “the Regulations” in Paragraph 2 above shall be read as references to “any legal requirements applicable to that potential Exempt Buyer”, and the Exempt Buyer shall be permitted to modify the Further Competition Procedure in accordance with any legal requirements applicable to the Exempt Buyer.</w:t>
      </w:r>
    </w:p>
    <w:p w:rsidR="007C474C" w:rsidRDefault="000A72F5">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3rdcrjn" w:colFirst="0" w:colLast="0"/>
      <w:bookmarkEnd w:id="10"/>
      <w:r>
        <w:rPr>
          <w:rFonts w:ascii="Arial" w:eastAsia="Arial" w:hAnsi="Arial" w:cs="Arial"/>
          <w:color w:val="000000"/>
          <w:sz w:val="24"/>
          <w:szCs w:val="24"/>
        </w:rPr>
        <w:t>Paragraphs 7.1 to 7.4 above are without prejudice to an Exempt Buyer’s ability to make such further modifications to the Call-Off Procedure as it considers necessary and in accordance with any legal requirements applicable to that potential Exempt Buyer.</w:t>
      </w:r>
    </w:p>
    <w:p w:rsidR="007C474C" w:rsidRPr="009D1280" w:rsidRDefault="000A72F5">
      <w:pPr>
        <w:keepNext/>
        <w:widowControl/>
        <w:numPr>
          <w:ilvl w:val="0"/>
          <w:numId w:val="4"/>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sidRPr="009D1280">
        <w:rPr>
          <w:rFonts w:ascii="Arial" w:eastAsia="Arial" w:hAnsi="Arial" w:cs="Arial"/>
          <w:b/>
          <w:color w:val="000000"/>
          <w:sz w:val="24"/>
          <w:szCs w:val="24"/>
        </w:rPr>
        <w:t>Non-Participation and Supplier Misconduct</w:t>
      </w:r>
    </w:p>
    <w:p w:rsidR="007C474C" w:rsidRDefault="000A72F5">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Where a Supplier fails to:</w:t>
      </w:r>
    </w:p>
    <w:p w:rsidR="007C474C" w:rsidRDefault="000A72F5">
      <w:pPr>
        <w:keepNext/>
        <w:widowControl/>
        <w:numPr>
          <w:ilvl w:val="3"/>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participate in any Further Competition Procedure for any 3 Month consecutive period; or </w:t>
      </w:r>
    </w:p>
    <w:p w:rsidR="007C474C" w:rsidRDefault="000A72F5">
      <w:pPr>
        <w:keepNext/>
        <w:widowControl/>
        <w:numPr>
          <w:ilvl w:val="3"/>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fails to notify CCS of their reasons for not participating or withdrawing from participating in any Further Competition Procedure; </w:t>
      </w:r>
    </w:p>
    <w:p w:rsidR="007C474C" w:rsidRDefault="000A72F5">
      <w:pPr>
        <w:keepNext/>
        <w:widowControl/>
        <w:pBdr>
          <w:top w:val="nil"/>
          <w:left w:val="nil"/>
          <w:bottom w:val="nil"/>
          <w:right w:val="nil"/>
          <w:between w:val="nil"/>
        </w:pBdr>
        <w:tabs>
          <w:tab w:val="left" w:pos="3054"/>
        </w:tabs>
        <w:spacing w:before="120" w:after="120"/>
        <w:ind w:left="1080"/>
        <w:rPr>
          <w:rFonts w:ascii="Arial" w:eastAsia="Arial" w:hAnsi="Arial" w:cs="Arial"/>
          <w:color w:val="000000"/>
          <w:sz w:val="24"/>
          <w:szCs w:val="24"/>
        </w:rPr>
      </w:pPr>
      <w:r>
        <w:rPr>
          <w:rFonts w:ascii="Arial" w:eastAsia="Arial" w:hAnsi="Arial" w:cs="Arial"/>
          <w:color w:val="000000"/>
          <w:sz w:val="24"/>
          <w:szCs w:val="24"/>
        </w:rPr>
        <w:t xml:space="preserve">then CCS may suspend the Supplier’s ability to enter into any new Call-Off Contracts during the CCS stated period. If this happens, the Supplier must still meet its obligations under any existing Call-Off Contracts that have already been signed and may enter into new Statement of Works under it. </w:t>
      </w:r>
    </w:p>
    <w:p w:rsidR="007C474C" w:rsidRDefault="000A72F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a Supplier: </w:t>
      </w:r>
    </w:p>
    <w:p w:rsidR="007C474C" w:rsidRDefault="000A72F5">
      <w:pPr>
        <w:keepNext/>
        <w:widowControl/>
        <w:numPr>
          <w:ilvl w:val="2"/>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falsely responds to a Further Competition Procedure, for example, by responding “yes” to a “must have” question or requirement that it cannot fulfil; or</w:t>
      </w:r>
    </w:p>
    <w:p w:rsidR="007C474C" w:rsidRDefault="000A72F5">
      <w:pPr>
        <w:keepNext/>
        <w:widowControl/>
        <w:numPr>
          <w:ilvl w:val="2"/>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tries to renegotiate the terms of the Call-Off Contract following award; </w:t>
      </w:r>
    </w:p>
    <w:p w:rsidR="007C474C" w:rsidRDefault="000A72F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(hereafter “Misconduct”) then: </w:t>
      </w:r>
    </w:p>
    <w:p w:rsidR="007C474C" w:rsidRDefault="000A72F5">
      <w:pPr>
        <w:keepNext/>
        <w:widowControl/>
        <w:numPr>
          <w:ilvl w:val="3"/>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CCS may suspend (for any period) the Supplier’s ability to enter into any new Call-Off Contracts during this period, and a Buyer may exclude that Supplier from any Further Competition Procedures. If this happens, the Supplier must still meet its obligations under any existing Call-Off </w:t>
      </w:r>
      <w:r>
        <w:rPr>
          <w:rFonts w:ascii="Arial" w:eastAsia="Arial" w:hAnsi="Arial" w:cs="Arial"/>
          <w:color w:val="000000"/>
          <w:sz w:val="24"/>
          <w:szCs w:val="24"/>
        </w:rPr>
        <w:lastRenderedPageBreak/>
        <w:t xml:space="preserve">Contacts that have already been signed and may enter into new Statements of Work under it. </w:t>
      </w:r>
    </w:p>
    <w:p w:rsidR="007C474C" w:rsidRDefault="000A72F5">
      <w:pPr>
        <w:keepNext/>
        <w:widowControl/>
        <w:numPr>
          <w:ilvl w:val="3"/>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CCS may terminate the Framework Contract it has with the Supplier, and a Buyer may terminate any Call-Off Contract it has with that Supplier.</w:t>
      </w:r>
    </w:p>
    <w:p w:rsidR="007C474C" w:rsidRDefault="000A72F5">
      <w:pPr>
        <w:rPr>
          <w:rFonts w:ascii="Arial" w:eastAsia="Arial" w:hAnsi="Arial" w:cs="Arial"/>
          <w:sz w:val="24"/>
          <w:szCs w:val="24"/>
        </w:rPr>
      </w:pPr>
      <w:r>
        <w:br w:type="page"/>
      </w:r>
    </w:p>
    <w:p w:rsidR="007C474C" w:rsidRDefault="007C474C">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7C474C" w:rsidRDefault="000A72F5">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7C474C" w:rsidRDefault="000A72F5">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further competition (Annex A) in accordance with the Call-Off Procedure.</w:t>
      </w:r>
    </w:p>
    <w:p w:rsidR="007C474C" w:rsidRDefault="000A72F5">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7C474C" w:rsidRDefault="000A72F5">
      <w:pPr>
        <w:rPr>
          <w:rFonts w:ascii="Arial" w:eastAsia="Arial" w:hAnsi="Arial" w:cs="Arial"/>
          <w:b/>
          <w:smallCaps/>
          <w:sz w:val="24"/>
          <w:szCs w:val="24"/>
        </w:rPr>
      </w:pPr>
      <w:r>
        <w:br w:type="page"/>
      </w:r>
    </w:p>
    <w:p w:rsidR="007C474C" w:rsidRDefault="000A72F5">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Further Competition Award Criteria</w:t>
      </w:r>
    </w:p>
    <w:p w:rsidR="007C474C" w:rsidRDefault="000A72F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3"/>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74C">
        <w:tc>
          <w:tcPr>
            <w:tcW w:w="4508" w:type="dxa"/>
            <w:shd w:val="clear" w:color="auto" w:fill="E7E6E6"/>
          </w:tcPr>
          <w:p w:rsidR="007C474C" w:rsidRDefault="000A72F5">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4508" w:type="dxa"/>
            <w:shd w:val="clear" w:color="auto" w:fill="E7E6E6"/>
          </w:tcPr>
          <w:p w:rsidR="007C474C" w:rsidRDefault="000A72F5">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7C474C" w:rsidRDefault="000A72F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Guidance:</w:t>
            </w:r>
            <w:r>
              <w:rPr>
                <w:rFonts w:ascii="Arial" w:eastAsia="Arial" w:hAnsi="Arial" w:cs="Arial"/>
                <w:color w:val="000000"/>
                <w:sz w:val="24"/>
                <w:szCs w:val="24"/>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7C474C">
        <w:tc>
          <w:tcPr>
            <w:tcW w:w="4508" w:type="dxa"/>
          </w:tcPr>
          <w:p w:rsidR="007C474C" w:rsidRDefault="000A72F5">
            <w:pPr>
              <w:keepNext/>
              <w:widowControl/>
              <w:pBdr>
                <w:top w:val="nil"/>
                <w:left w:val="nil"/>
                <w:bottom w:val="nil"/>
                <w:right w:val="nil"/>
                <w:between w:val="nil"/>
              </w:pBdr>
              <w:spacing w:before="12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[Quality]</w:t>
            </w:r>
          </w:p>
          <w:p w:rsidR="007C474C" w:rsidRDefault="000A72F5">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[Which consists of the following criteria:</w:t>
            </w:r>
          </w:p>
          <w:p w:rsidR="007C474C" w:rsidRDefault="000A72F5">
            <w:pPr>
              <w:keepNext/>
              <w:widowControl/>
              <w:numPr>
                <w:ilvl w:val="0"/>
                <w:numId w:val="3"/>
              </w:num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[Added Value / Innovation]</w:t>
            </w:r>
          </w:p>
          <w:p w:rsidR="007C474C" w:rsidRDefault="000A72F5">
            <w:pPr>
              <w:keepNext/>
              <w:widowControl/>
              <w:numPr>
                <w:ilvl w:val="0"/>
                <w:numId w:val="3"/>
              </w:num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[Social Value]</w:t>
            </w:r>
          </w:p>
          <w:p w:rsidR="007C474C" w:rsidRDefault="000A72F5">
            <w:pPr>
              <w:keepNext/>
              <w:widowControl/>
              <w:numPr>
                <w:ilvl w:val="0"/>
                <w:numId w:val="3"/>
              </w:num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[Approach </w:t>
            </w:r>
            <w:proofErr w:type="gramStart"/>
            <w:r>
              <w:rPr>
                <w:rFonts w:ascii="Arial" w:eastAsia="Arial" w:hAnsi="Arial" w:cs="Arial"/>
                <w:color w:val="000000"/>
                <w:sz w:val="24"/>
                <w:szCs w:val="24"/>
                <w:highlight w:val="yellow"/>
              </w:rPr>
              <w:t>To</w:t>
            </w:r>
            <w:proofErr w:type="gramEnd"/>
            <w:r>
              <w:rPr>
                <w:rFonts w:ascii="Arial" w:eastAsia="Arial" w:hAnsi="Arial" w:cs="Arial"/>
                <w:color w:val="000000"/>
                <w:sz w:val="24"/>
                <w:szCs w:val="24"/>
                <w:highlight w:val="yellow"/>
              </w:rPr>
              <w:t xml:space="preserve"> Delivery Of The Services]</w:t>
            </w:r>
          </w:p>
          <w:p w:rsidR="007C474C" w:rsidRDefault="000A72F5">
            <w:pPr>
              <w:keepNext/>
              <w:widowControl/>
              <w:numPr>
                <w:ilvl w:val="0"/>
                <w:numId w:val="3"/>
              </w:num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[Implementation]</w:t>
            </w:r>
          </w:p>
          <w:p w:rsidR="007C474C" w:rsidRDefault="000A72F5">
            <w:pPr>
              <w:keepNext/>
              <w:widowControl/>
              <w:numPr>
                <w:ilvl w:val="0"/>
                <w:numId w:val="3"/>
              </w:numPr>
              <w:pBdr>
                <w:top w:val="nil"/>
                <w:left w:val="nil"/>
                <w:bottom w:val="nil"/>
                <w:right w:val="nil"/>
                <w:between w:val="nil"/>
              </w:pBdr>
              <w:rPr>
                <w:rFonts w:ascii="Arial" w:eastAsia="Arial" w:hAnsi="Arial" w:cs="Arial"/>
                <w:sz w:val="24"/>
                <w:szCs w:val="24"/>
                <w:highlight w:val="yellow"/>
              </w:rPr>
            </w:pPr>
            <w:r>
              <w:rPr>
                <w:rFonts w:ascii="Arial" w:eastAsia="Arial" w:hAnsi="Arial" w:cs="Arial"/>
                <w:sz w:val="24"/>
                <w:szCs w:val="24"/>
                <w:highlight w:val="yellow"/>
              </w:rPr>
              <w:t>[Use of Supply Chain/ Partners]</w:t>
            </w:r>
          </w:p>
          <w:p w:rsidR="007C474C" w:rsidRDefault="000A72F5">
            <w:pPr>
              <w:keepNext/>
              <w:widowControl/>
              <w:numPr>
                <w:ilvl w:val="0"/>
                <w:numId w:val="3"/>
              </w:numPr>
              <w:pBdr>
                <w:top w:val="nil"/>
                <w:left w:val="nil"/>
                <w:bottom w:val="nil"/>
                <w:right w:val="nil"/>
                <w:between w:val="nil"/>
              </w:pBdr>
              <w:rPr>
                <w:rFonts w:ascii="Arial" w:eastAsia="Arial" w:hAnsi="Arial" w:cs="Arial"/>
                <w:sz w:val="24"/>
                <w:szCs w:val="24"/>
                <w:highlight w:val="yellow"/>
              </w:rPr>
            </w:pPr>
            <w:r>
              <w:rPr>
                <w:rFonts w:ascii="Arial" w:eastAsia="Arial" w:hAnsi="Arial" w:cs="Arial"/>
                <w:sz w:val="24"/>
                <w:szCs w:val="24"/>
                <w:highlight w:val="yellow"/>
              </w:rPr>
              <w:t>[Understanding of the Technical Requirements]</w:t>
            </w:r>
          </w:p>
          <w:p w:rsidR="007C474C" w:rsidRDefault="000A72F5">
            <w:pPr>
              <w:keepNext/>
              <w:widowControl/>
              <w:numPr>
                <w:ilvl w:val="0"/>
                <w:numId w:val="3"/>
              </w:numPr>
              <w:pBdr>
                <w:top w:val="nil"/>
                <w:left w:val="nil"/>
                <w:bottom w:val="nil"/>
                <w:right w:val="nil"/>
                <w:between w:val="nil"/>
              </w:pBdr>
              <w:rPr>
                <w:rFonts w:ascii="Arial" w:eastAsia="Arial" w:hAnsi="Arial" w:cs="Arial"/>
                <w:sz w:val="24"/>
                <w:szCs w:val="24"/>
                <w:highlight w:val="yellow"/>
              </w:rPr>
            </w:pPr>
            <w:r>
              <w:rPr>
                <w:rFonts w:ascii="Arial" w:eastAsia="Arial" w:hAnsi="Arial" w:cs="Arial"/>
                <w:sz w:val="24"/>
                <w:szCs w:val="24"/>
                <w:highlight w:val="yellow"/>
              </w:rPr>
              <w:t>[Ability to meet Requested Timescales]</w:t>
            </w:r>
          </w:p>
          <w:p w:rsidR="007C474C" w:rsidRDefault="000A72F5">
            <w:pPr>
              <w:keepNext/>
              <w:widowControl/>
              <w:numPr>
                <w:ilvl w:val="0"/>
                <w:numId w:val="3"/>
              </w:numPr>
              <w:pBdr>
                <w:top w:val="nil"/>
                <w:left w:val="nil"/>
                <w:bottom w:val="nil"/>
                <w:right w:val="nil"/>
                <w:between w:val="nil"/>
              </w:pBdr>
              <w:rPr>
                <w:rFonts w:ascii="Arial" w:eastAsia="Arial" w:hAnsi="Arial" w:cs="Arial"/>
                <w:sz w:val="24"/>
                <w:szCs w:val="24"/>
                <w:highlight w:val="yellow"/>
              </w:rPr>
            </w:pPr>
            <w:r>
              <w:rPr>
                <w:rFonts w:ascii="Arial" w:eastAsia="Arial" w:hAnsi="Arial" w:cs="Arial"/>
                <w:sz w:val="24"/>
                <w:szCs w:val="24"/>
                <w:highlight w:val="yellow"/>
              </w:rPr>
              <w:t>[Quality of the team]</w:t>
            </w:r>
          </w:p>
          <w:p w:rsidR="007C474C" w:rsidRDefault="007C474C">
            <w:pPr>
              <w:widowControl/>
              <w:pBdr>
                <w:top w:val="nil"/>
                <w:left w:val="nil"/>
                <w:bottom w:val="nil"/>
                <w:right w:val="nil"/>
                <w:between w:val="nil"/>
              </w:pBdr>
              <w:tabs>
                <w:tab w:val="left" w:pos="851"/>
              </w:tabs>
              <w:spacing w:after="240"/>
              <w:jc w:val="both"/>
              <w:rPr>
                <w:rFonts w:ascii="Arial" w:eastAsia="Arial" w:hAnsi="Arial" w:cs="Arial"/>
                <w:sz w:val="24"/>
                <w:szCs w:val="24"/>
                <w:highlight w:val="yellow"/>
              </w:rPr>
            </w:pPr>
          </w:p>
        </w:tc>
        <w:tc>
          <w:tcPr>
            <w:tcW w:w="4508" w:type="dxa"/>
          </w:tcPr>
          <w:p w:rsidR="007C474C" w:rsidRDefault="000A72F5">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sz w:val="24"/>
                <w:szCs w:val="24"/>
                <w:highlight w:val="yellow"/>
              </w:rPr>
              <w:t>Between 40% and 70</w:t>
            </w:r>
            <w:proofErr w:type="gramStart"/>
            <w:r>
              <w:rPr>
                <w:rFonts w:ascii="Arial" w:eastAsia="Arial" w:hAnsi="Arial" w:cs="Arial"/>
                <w:sz w:val="24"/>
                <w:szCs w:val="24"/>
                <w:highlight w:val="yellow"/>
              </w:rPr>
              <w:t>%</w:t>
            </w:r>
            <w:r>
              <w:rPr>
                <w:rFonts w:ascii="Arial" w:eastAsia="Arial" w:hAnsi="Arial" w:cs="Arial"/>
                <w:color w:val="000000"/>
                <w:sz w:val="24"/>
                <w:szCs w:val="24"/>
                <w:highlight w:val="yellow"/>
              </w:rPr>
              <w:t xml:space="preserve">  ]</w:t>
            </w:r>
            <w:proofErr w:type="gramEnd"/>
            <w:r>
              <w:rPr>
                <w:rFonts w:ascii="Arial" w:eastAsia="Arial" w:hAnsi="Arial" w:cs="Arial"/>
                <w:color w:val="000000"/>
                <w:sz w:val="24"/>
                <w:szCs w:val="24"/>
                <w:highlight w:val="yellow"/>
              </w:rPr>
              <w:t xml:space="preserve"> </w:t>
            </w:r>
          </w:p>
        </w:tc>
      </w:tr>
      <w:tr w:rsidR="007C474C">
        <w:tc>
          <w:tcPr>
            <w:tcW w:w="4508" w:type="dxa"/>
          </w:tcPr>
          <w:p w:rsidR="007C474C" w:rsidRDefault="000A72F5">
            <w:pPr>
              <w:widowControl/>
              <w:tabs>
                <w:tab w:val="left" w:pos="851"/>
              </w:tabs>
              <w:spacing w:after="240"/>
              <w:jc w:val="both"/>
              <w:rPr>
                <w:rFonts w:ascii="Arial" w:eastAsia="Arial" w:hAnsi="Arial" w:cs="Arial"/>
                <w:sz w:val="24"/>
                <w:szCs w:val="24"/>
                <w:highlight w:val="yellow"/>
              </w:rPr>
            </w:pPr>
            <w:r>
              <w:rPr>
                <w:rFonts w:ascii="Arial" w:eastAsia="Arial" w:hAnsi="Arial" w:cs="Arial"/>
                <w:sz w:val="24"/>
                <w:szCs w:val="24"/>
                <w:highlight w:val="yellow"/>
              </w:rPr>
              <w:t>[Commercial]</w:t>
            </w:r>
          </w:p>
          <w:p w:rsidR="007C474C" w:rsidRDefault="000A72F5">
            <w:pPr>
              <w:widowControl/>
              <w:tabs>
                <w:tab w:val="left" w:pos="851"/>
              </w:tabs>
              <w:spacing w:after="240"/>
              <w:jc w:val="both"/>
              <w:rPr>
                <w:rFonts w:ascii="Arial" w:eastAsia="Arial" w:hAnsi="Arial" w:cs="Arial"/>
                <w:sz w:val="24"/>
                <w:szCs w:val="24"/>
                <w:highlight w:val="yellow"/>
              </w:rPr>
            </w:pPr>
            <w:r>
              <w:rPr>
                <w:rFonts w:ascii="Arial" w:eastAsia="Arial" w:hAnsi="Arial" w:cs="Arial"/>
                <w:sz w:val="24"/>
                <w:szCs w:val="24"/>
                <w:highlight w:val="yellow"/>
              </w:rPr>
              <w:t>Which consists of the following criteria (one or more or all may be selected):</w:t>
            </w:r>
          </w:p>
          <w:p w:rsidR="007C474C" w:rsidRDefault="000A72F5">
            <w:pPr>
              <w:widowControl/>
              <w:tabs>
                <w:tab w:val="left" w:pos="851"/>
              </w:tabs>
              <w:spacing w:after="240"/>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sz w:val="24"/>
                <w:szCs w:val="24"/>
                <w:highlight w:val="yellow"/>
              </w:rPr>
              <w:tab/>
              <w:t>[Call-Off Specific Rate Table]</w:t>
            </w:r>
          </w:p>
          <w:p w:rsidR="007C474C" w:rsidRDefault="000A72F5">
            <w:pPr>
              <w:widowControl/>
              <w:tabs>
                <w:tab w:val="left" w:pos="851"/>
              </w:tabs>
              <w:spacing w:after="240"/>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sz w:val="24"/>
                <w:szCs w:val="24"/>
                <w:highlight w:val="yellow"/>
              </w:rPr>
              <w:tab/>
              <w:t>[Overall Price Estimate]</w:t>
            </w:r>
          </w:p>
          <w:p w:rsidR="007C474C" w:rsidRDefault="000A72F5">
            <w:pPr>
              <w:widowControl/>
              <w:tabs>
                <w:tab w:val="left" w:pos="851"/>
              </w:tabs>
              <w:spacing w:after="240"/>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sz w:val="24"/>
                <w:szCs w:val="24"/>
                <w:highlight w:val="yellow"/>
              </w:rPr>
              <w:tab/>
              <w:t>[Value of Overall Cap]</w:t>
            </w:r>
          </w:p>
          <w:p w:rsidR="007C474C" w:rsidRDefault="000A72F5">
            <w:pPr>
              <w:widowControl/>
              <w:tabs>
                <w:tab w:val="left" w:pos="851"/>
              </w:tabs>
              <w:spacing w:after="240"/>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sz w:val="24"/>
                <w:szCs w:val="24"/>
                <w:highlight w:val="yellow"/>
              </w:rPr>
              <w:tab/>
              <w:t>[Price for Initial Statement of Work(s)]</w:t>
            </w:r>
          </w:p>
        </w:tc>
        <w:tc>
          <w:tcPr>
            <w:tcW w:w="4508" w:type="dxa"/>
          </w:tcPr>
          <w:p w:rsidR="007C474C" w:rsidRDefault="000A72F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sz w:val="24"/>
                <w:szCs w:val="24"/>
                <w:highlight w:val="yellow"/>
              </w:rPr>
              <w:t>Between 30% and 60</w:t>
            </w:r>
            <w:proofErr w:type="gramStart"/>
            <w:r>
              <w:rPr>
                <w:rFonts w:ascii="Arial" w:eastAsia="Arial" w:hAnsi="Arial" w:cs="Arial"/>
                <w:sz w:val="24"/>
                <w:szCs w:val="24"/>
                <w:highlight w:val="yellow"/>
              </w:rPr>
              <w:t>%</w:t>
            </w:r>
            <w:r>
              <w:rPr>
                <w:rFonts w:ascii="Arial" w:eastAsia="Arial" w:hAnsi="Arial" w:cs="Arial"/>
                <w:color w:val="000000"/>
                <w:sz w:val="24"/>
                <w:szCs w:val="24"/>
                <w:highlight w:val="yellow"/>
              </w:rPr>
              <w:t xml:space="preserve"> ]</w:t>
            </w:r>
            <w:proofErr w:type="gramEnd"/>
          </w:p>
        </w:tc>
      </w:tr>
    </w:tbl>
    <w:p w:rsidR="007C474C" w:rsidRDefault="007C474C">
      <w:pPr>
        <w:widowControl/>
        <w:pBdr>
          <w:top w:val="nil"/>
          <w:left w:val="nil"/>
          <w:bottom w:val="nil"/>
          <w:right w:val="nil"/>
          <w:between w:val="nil"/>
        </w:pBdr>
        <w:jc w:val="both"/>
        <w:rPr>
          <w:rFonts w:ascii="Arial" w:eastAsia="Arial" w:hAnsi="Arial" w:cs="Arial"/>
          <w:color w:val="FFFFFF"/>
          <w:sz w:val="24"/>
          <w:szCs w:val="24"/>
        </w:rPr>
      </w:pPr>
    </w:p>
    <w:sectPr w:rsidR="007C474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52C" w:rsidRDefault="00B6752C">
      <w:r>
        <w:separator/>
      </w:r>
    </w:p>
  </w:endnote>
  <w:endnote w:type="continuationSeparator" w:id="0">
    <w:p w:rsidR="00B6752C" w:rsidRDefault="00B6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74C" w:rsidRDefault="007C474C">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74C" w:rsidRDefault="000A72F5">
    <w:pPr>
      <w:tabs>
        <w:tab w:val="center" w:pos="4513"/>
        <w:tab w:val="right" w:pos="9026"/>
      </w:tabs>
      <w:rPr>
        <w:rFonts w:ascii="Arial" w:eastAsia="Arial" w:hAnsi="Arial" w:cs="Arial"/>
        <w:sz w:val="20"/>
        <w:szCs w:val="20"/>
      </w:rPr>
    </w:pPr>
    <w:r>
      <w:rPr>
        <w:rFonts w:ascii="Arial" w:eastAsia="Arial" w:hAnsi="Arial" w:cs="Arial"/>
        <w:sz w:val="20"/>
        <w:szCs w:val="20"/>
      </w:rPr>
      <w:t>Framework Ref: RM6345</w:t>
    </w:r>
    <w:r>
      <w:rPr>
        <w:rFonts w:ascii="Arial" w:eastAsia="Arial" w:hAnsi="Arial" w:cs="Arial"/>
        <w:sz w:val="20"/>
        <w:szCs w:val="20"/>
      </w:rPr>
      <w:tab/>
      <w:t xml:space="preserve">                                           </w:t>
    </w:r>
  </w:p>
  <w:p w:rsidR="007C474C" w:rsidRDefault="000A72F5">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 xml:space="preserve">Project Version: </w:t>
    </w:r>
    <w:r w:rsidR="001B13D9">
      <w:rPr>
        <w:rFonts w:ascii="Arial" w:eastAsia="Arial" w:hAnsi="Arial" w:cs="Arial"/>
        <w:color w:val="000000"/>
        <w:sz w:val="20"/>
        <w:szCs w:val="20"/>
      </w:rPr>
      <w:t>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B13D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C474C" w:rsidRDefault="000A72F5">
    <w:pPr>
      <w:tabs>
        <w:tab w:val="left" w:pos="720"/>
        <w:tab w:val="left" w:pos="1440"/>
        <w:tab w:val="left" w:pos="2160"/>
        <w:tab w:val="left" w:pos="2880"/>
        <w:tab w:val="left" w:pos="3600"/>
        <w:tab w:val="center" w:pos="4513"/>
      </w:tabs>
      <w:rPr>
        <w:rFonts w:ascii="Arial" w:eastAsia="Arial" w:hAnsi="Arial" w:cs="Arial"/>
        <w:sz w:val="20"/>
        <w:szCs w:val="20"/>
      </w:rPr>
    </w:pPr>
    <w:bookmarkStart w:id="11" w:name="_heading=h.gjdgxs" w:colFirst="0" w:colLast="0"/>
    <w:bookmarkEnd w:id="11"/>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74C" w:rsidRDefault="007C474C">
    <w:pPr>
      <w:widowControl/>
      <w:pBdr>
        <w:top w:val="nil"/>
        <w:left w:val="nil"/>
        <w:bottom w:val="nil"/>
        <w:right w:val="nil"/>
        <w:between w:val="nil"/>
      </w:pBdr>
      <w:tabs>
        <w:tab w:val="center" w:pos="4513"/>
        <w:tab w:val="right" w:pos="9026"/>
      </w:tabs>
      <w:jc w:val="both"/>
      <w:rPr>
        <w:color w:val="000000"/>
      </w:rPr>
    </w:pPr>
  </w:p>
  <w:p w:rsidR="007C474C" w:rsidRDefault="000A72F5">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7C474C" w:rsidRDefault="000A72F5">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7C474C" w:rsidRDefault="000A72F5">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52C" w:rsidRDefault="00B6752C">
      <w:r>
        <w:separator/>
      </w:r>
    </w:p>
  </w:footnote>
  <w:footnote w:type="continuationSeparator" w:id="0">
    <w:p w:rsidR="00B6752C" w:rsidRDefault="00B6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74C" w:rsidRDefault="007C474C">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74C" w:rsidRDefault="000A72F5">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7C474C" w:rsidRDefault="000A72F5">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74C" w:rsidRDefault="000A72F5">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7C474C" w:rsidRDefault="000A72F5">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7C474C" w:rsidRDefault="007C474C">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20130"/>
    <w:multiLevelType w:val="multilevel"/>
    <w:tmpl w:val="6B32F1E0"/>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9F106C1"/>
    <w:multiLevelType w:val="multilevel"/>
    <w:tmpl w:val="A22612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A9C4F68"/>
    <w:multiLevelType w:val="multilevel"/>
    <w:tmpl w:val="FD5EA06C"/>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3" w15:restartNumberingAfterBreak="0">
    <w:nsid w:val="6D103DCA"/>
    <w:multiLevelType w:val="multilevel"/>
    <w:tmpl w:val="5ED0EB6C"/>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3140F6E"/>
    <w:multiLevelType w:val="multilevel"/>
    <w:tmpl w:val="3C9CA21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F77537E"/>
    <w:multiLevelType w:val="multilevel"/>
    <w:tmpl w:val="87880D2A"/>
    <w:lvl w:ilvl="0">
      <w:start w:val="9"/>
      <w:numFmt w:val="decimal"/>
      <w:lvlText w:val="%1."/>
      <w:lvlJc w:val="left"/>
      <w:pPr>
        <w:ind w:left="360" w:hanging="360"/>
      </w:pPr>
      <w:rPr>
        <w:b/>
        <w:i w:val="0"/>
        <w:smallCaps w:val="0"/>
        <w:strike w:val="0"/>
        <w:color w:val="00000A"/>
        <w:sz w:val="24"/>
        <w:szCs w:val="24"/>
        <w:u w:val="none"/>
        <w:vertAlign w:val="baseline"/>
      </w:rPr>
    </w:lvl>
    <w:lvl w:ilvl="1">
      <w:start w:val="2"/>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74C"/>
    <w:rsid w:val="000A72F5"/>
    <w:rsid w:val="001B13D9"/>
    <w:rsid w:val="007C474C"/>
    <w:rsid w:val="008979D1"/>
    <w:rsid w:val="009D1280"/>
    <w:rsid w:val="00A24B12"/>
    <w:rsid w:val="00B6752C"/>
    <w:rsid w:val="00B765A7"/>
    <w:rsid w:val="00D337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4329DB-A10A-4D0A-BE1A-A53D552A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6"/>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6"/>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6"/>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0iEDko9LBF2tDEbsIsOW2GYRg==">CgMxLjAyCWlkLmdqZGd4czIJaC4zMGowemxsMgloLjFmb2I5dGUyCWguMjZpbjFyZzIJaC4zem55c2g3MgloLjJldDkycDAyCGgudHlqY3d0MgloLjNkeTZ2a20yCWguMXQzaDVzZjIJaC4zcmRjcmpuMghoLmdqZGd4czgAakUKNnN1Z2dlc3RJZEltcG9ydDVkYzNmOGZlLTc1NmEtNDU2Yy05Y2Q4LTBmN2QwNTBkMmY0ZF8xNRILSm9yZGFuIEhpbGxqRgo3c3VnZ2VzdElkSW1wb3J0NWRjM2Y4ZmUtNzU2YS00NTZjLTljZDgtMGY3ZDA1MGQyZjRkXzEwMhILSm9yZGFuIEhpbGxqRQo2c3VnZ2VzdElkSW1wb3J0NWRjM2Y4ZmUtNzU2YS00NTZjLTljZDgtMGY3ZDA1MGQyZjRkXzk0EgtKb3JkYW4gSGlsbGpECjVzdWdnZXN0SWRJbXBvcnQ1ZGMzZjhmZS03NTZhLTQ1NmMtOWNkOC0wZjdkMDUwZDJmNGRfOBILSm9yZGFuIEhpbGxqRQo2c3VnZ2VzdElkSW1wb3J0NWRjM2Y4ZmUtNzU2YS00NTZjLTljZDgtMGY3ZDA1MGQyZjRkXzk2EgtKb3JkYW4gSGlsbGpECjVzdWdnZXN0SWRJbXBvcnQ1ZGMzZjhmZS03NTZhLTQ1NmMtOWNkOC0wZjdkMDUwZDJmNGRfNRILSm9yZGFuIEhpbGxqRQo2c3VnZ2VzdElkSW1wb3J0NWRjM2Y4ZmUtNzU2YS00NTZjLTljZDgtMGY3ZDA1MGQyZjRkXzM0EgtKb3JkYW4gSGlsbGpFCjZzdWdnZXN0SWRJbXBvcnQ1ZGMzZjhmZS03NTZhLTQ1NmMtOWNkOC0wZjdkMDUwZDJmNGRfODASC0pvcmRhbiBIaWxsakUKNnN1Z2dlc3RJZEltcG9ydDVkYzNmOGZlLTc1NmEtNDU2Yy05Y2Q4LTBmN2QwNTBkMmY0ZF8yMBILSm9yZGFuIEhpbGxqRQo2c3VnZ2VzdElkSW1wb3J0NWRjM2Y4ZmUtNzU2YS00NTZjLTljZDgtMGY3ZDA1MGQyZjRkXzkyEgtKb3JkYW4gSGlsbGpFCjZzdWdnZXN0SWRJbXBvcnQ1ZGMzZjhmZS03NTZhLTQ1NmMtOWNkOC0wZjdkMDUwZDJmNGRfODESC0pvcmRhbiBIaWxsakUKNnN1Z2dlc3RJZEltcG9ydDVkYzNmOGZlLTc1NmEtNDU2Yy05Y2Q4LTBmN2QwNTBkMmY0ZF84MxILSm9yZGFuIEhpbGxqRQo2c3VnZ2VzdElkSW1wb3J0NWRjM2Y4ZmUtNzU2YS00NTZjLTljZDgtMGY3ZDA1MGQyZjRkXzMxEgtKb3JkYW4gSGlsbGpFCjZzdWdnZXN0SWRJbXBvcnQ1ZGMzZjhmZS03NTZhLTQ1NmMtOWNkOC0wZjdkMDUwZDJmNGRfMjgSC0pvcmRhbiBIaWxsakQKNXN1Z2dlc3RJZEltcG9ydDVkYzNmOGZlLTc1NmEtNDU2Yy05Y2Q4LTBmN2QwNTBkMmY0ZF83EgtKb3JkYW4gSGlsbGpFCjZzdWdnZXN0SWRJbXBvcnQ1ZGMzZjhmZS03NTZhLTQ1NmMtOWNkOC0wZjdkMDUwZDJmNGRfMzASC0pvcmRhbiBIaWxsakUKNnN1Z2dlc3RJZEltcG9ydDVkYzNmOGZlLTc1NmEtNDU2Yy05Y2Q4LTBmN2QwNTBkMmY0ZF8yNhILSm9yZGFuIEhpbGxqRQo2c3VnZ2VzdElkSW1wb3J0NWRjM2Y4ZmUtNzU2YS00NTZjLTljZDgtMGY3ZDA1MGQyZjRkXzI1EgtKb3JkYW4gSGlsbGpECjVzdWdnZXN0SWRJbXBvcnQ1ZGMzZjhmZS03NTZhLTQ1NmMtOWNkOC0wZjdkMDUwZDJmNGRfMRILSm9yZGFuIEhpbGxqRQo2c3VnZ2VzdElkSW1wb3J0NWRjM2Y4ZmUtNzU2YS00NTZjLTljZDgtMGY3ZDA1MGQyZjRkXzMyEgtKb3JkYW4gSGlsbGpFCjZzdWdnZXN0SWRJbXBvcnQ1ZGMzZjhmZS03NTZhLTQ1NmMtOWNkOC0wZjdkMDUwZDJmNGRfMTISC0pvcmRhbiBIaWxsakUKNnN1Z2dlc3RJZEltcG9ydDVkYzNmOGZlLTc1NmEtNDU2Yy05Y2Q4LTBmN2QwNTBkMmY0ZF85OBILSm9yZGFuIEhpbGxqRQo2c3VnZ2VzdElkSW1wb3J0NWRjM2Y4ZmUtNzU2YS00NTZjLTljZDgtMGY3ZDA1MGQyZjRkXzg0EgtKb3JkYW4gSGlsbGpFCjZzdWdnZXN0SWRJbXBvcnQ1ZGMzZjhmZS03NTZhLTQ1NmMtOWNkOC0wZjdkMDUwZDJmNGRfMjMSC0pvcmRhbiBIaWxsakYKN3N1Z2dlc3RJZEltcG9ydDVkYzNmOGZlLTc1NmEtNDU2Yy05Y2Q4LTBmN2QwNTBkMmY0ZF8xMDASC0pvcmRhbiBIaWxsakQKNXN1Z2dlc3RJZEltcG9ydDVkYzNmOGZlLTc1NmEtNDU2Yy05Y2Q4LTBmN2QwNTBkMmY0ZF82EgtKb3JkYW4gSGlsbGpFCjZzdWdnZXN0SWRJbXBvcnQ1ZGMzZjhmZS03NTZhLTQ1NmMtOWNkOC0wZjdkMDUwZDJmNGRfMTgSC0pvcmRhbiBIaWxsciExdmhQZnN5bndVQkVjcW91WFRTcWxEcHNiZmtxRm5SZ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2280</Words>
  <Characters>12998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Baljinder Sall</cp:lastModifiedBy>
  <cp:revision>2</cp:revision>
  <dcterms:created xsi:type="dcterms:W3CDTF">2024-05-17T09:12:00Z</dcterms:created>
  <dcterms:modified xsi:type="dcterms:W3CDTF">2024-05-17T09:12:00Z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